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49" w:rsidRPr="005F6118" w:rsidRDefault="002C26E0" w:rsidP="002D26B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F6118">
        <w:rPr>
          <w:rFonts w:ascii="Arial" w:hAnsi="Arial" w:cs="Arial"/>
          <w:sz w:val="22"/>
          <w:szCs w:val="22"/>
        </w:rPr>
        <w:t xml:space="preserve">The Building </w:t>
      </w:r>
      <w:r w:rsidR="002D26B9" w:rsidRPr="005F6118">
        <w:rPr>
          <w:rFonts w:ascii="Arial" w:hAnsi="Arial" w:cs="Arial"/>
          <w:sz w:val="22"/>
          <w:szCs w:val="22"/>
        </w:rPr>
        <w:t xml:space="preserve">and Other Legislation </w:t>
      </w:r>
      <w:r w:rsidRPr="005F6118">
        <w:rPr>
          <w:rFonts w:ascii="Arial" w:hAnsi="Arial" w:cs="Arial"/>
          <w:sz w:val="22"/>
          <w:szCs w:val="22"/>
        </w:rPr>
        <w:t>Amendment Regulation (No</w:t>
      </w:r>
      <w:r w:rsidR="00C80C05">
        <w:rPr>
          <w:rFonts w:ascii="Arial" w:hAnsi="Arial" w:cs="Arial"/>
          <w:sz w:val="22"/>
          <w:szCs w:val="22"/>
        </w:rPr>
        <w:t>. 2</w:t>
      </w:r>
      <w:r w:rsidRPr="005F6118">
        <w:rPr>
          <w:rFonts w:ascii="Arial" w:hAnsi="Arial" w:cs="Arial"/>
          <w:sz w:val="22"/>
          <w:szCs w:val="22"/>
        </w:rPr>
        <w:t>) 20</w:t>
      </w:r>
      <w:r w:rsidR="007719BA" w:rsidRPr="005F6118">
        <w:rPr>
          <w:rFonts w:ascii="Arial" w:hAnsi="Arial" w:cs="Arial"/>
          <w:sz w:val="22"/>
          <w:szCs w:val="22"/>
        </w:rPr>
        <w:t>10</w:t>
      </w:r>
      <w:r w:rsidRPr="005F6118">
        <w:rPr>
          <w:rFonts w:ascii="Arial" w:hAnsi="Arial" w:cs="Arial"/>
          <w:sz w:val="22"/>
          <w:szCs w:val="22"/>
        </w:rPr>
        <w:t xml:space="preserve"> amends</w:t>
      </w:r>
      <w:r w:rsidR="00000C49" w:rsidRPr="005F6118">
        <w:rPr>
          <w:rFonts w:ascii="Arial" w:hAnsi="Arial" w:cs="Arial"/>
          <w:sz w:val="22"/>
          <w:szCs w:val="22"/>
        </w:rPr>
        <w:t xml:space="preserve">: </w:t>
      </w:r>
    </w:p>
    <w:p w:rsidR="00000C49" w:rsidRPr="005F6118" w:rsidRDefault="00000C49" w:rsidP="00000C49">
      <w:pPr>
        <w:numPr>
          <w:ilvl w:val="0"/>
          <w:numId w:val="4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6118">
        <w:rPr>
          <w:rFonts w:ascii="Arial" w:hAnsi="Arial" w:cs="Arial"/>
          <w:sz w:val="22"/>
          <w:szCs w:val="22"/>
        </w:rPr>
        <w:t xml:space="preserve">the </w:t>
      </w:r>
      <w:r w:rsidRPr="005F6118">
        <w:rPr>
          <w:rFonts w:ascii="Arial" w:hAnsi="Arial" w:cs="Arial"/>
          <w:i/>
          <w:sz w:val="22"/>
          <w:szCs w:val="22"/>
        </w:rPr>
        <w:t>Building Regulation 2006</w:t>
      </w:r>
      <w:r w:rsidRPr="005F6118">
        <w:rPr>
          <w:rFonts w:ascii="Arial" w:hAnsi="Arial" w:cs="Arial"/>
          <w:sz w:val="22"/>
          <w:szCs w:val="22"/>
        </w:rPr>
        <w:t xml:space="preserve"> by </w:t>
      </w:r>
      <w:r w:rsidR="002C26E0" w:rsidRPr="005F6118">
        <w:rPr>
          <w:rFonts w:ascii="Arial" w:hAnsi="Arial" w:cs="Arial"/>
          <w:sz w:val="22"/>
          <w:szCs w:val="22"/>
        </w:rPr>
        <w:t>adding new part MP3.3 “Temporary Accommodation Buildings and Structures” to the Queensland Development Code</w:t>
      </w:r>
      <w:r w:rsidRPr="005F6118">
        <w:rPr>
          <w:rFonts w:ascii="Arial" w:hAnsi="Arial" w:cs="Arial"/>
          <w:sz w:val="22"/>
          <w:szCs w:val="22"/>
        </w:rPr>
        <w:t xml:space="preserve"> and providing for the development and displaying of a checklist in an approved form, of requirements for temporary accommodation buildings and structures; and </w:t>
      </w:r>
    </w:p>
    <w:p w:rsidR="00000C49" w:rsidRPr="005F6118" w:rsidRDefault="00000C49" w:rsidP="00000C49">
      <w:pPr>
        <w:numPr>
          <w:ilvl w:val="0"/>
          <w:numId w:val="4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6118">
        <w:rPr>
          <w:rFonts w:ascii="Arial" w:hAnsi="Arial" w:cs="Arial"/>
          <w:sz w:val="22"/>
          <w:szCs w:val="22"/>
        </w:rPr>
        <w:t xml:space="preserve">the </w:t>
      </w:r>
      <w:r w:rsidRPr="005F6118">
        <w:rPr>
          <w:rFonts w:ascii="Arial" w:hAnsi="Arial" w:cs="Arial"/>
          <w:i/>
          <w:sz w:val="22"/>
          <w:szCs w:val="22"/>
        </w:rPr>
        <w:t>Sustainable Planning Regulation 2009</w:t>
      </w:r>
      <w:r w:rsidRPr="005F6118">
        <w:rPr>
          <w:rFonts w:ascii="Arial" w:hAnsi="Arial" w:cs="Arial"/>
          <w:sz w:val="22"/>
          <w:szCs w:val="22"/>
        </w:rPr>
        <w:t xml:space="preserve"> by</w:t>
      </w:r>
      <w:r w:rsidRPr="005F6118">
        <w:rPr>
          <w:rFonts w:ascii="Arial" w:hAnsi="Arial" w:cs="Arial"/>
          <w:color w:val="auto"/>
          <w:sz w:val="22"/>
          <w:szCs w:val="22"/>
        </w:rPr>
        <w:t xml:space="preserve"> giving Local Governments concurrence agency powers to determine if an extension of time to enable a temporary accommodation building to remain on site for a longer period than 24 months, should be approved</w:t>
      </w:r>
      <w:r w:rsidR="00D417BE">
        <w:rPr>
          <w:rFonts w:ascii="Arial" w:hAnsi="Arial" w:cs="Arial"/>
          <w:color w:val="auto"/>
          <w:sz w:val="22"/>
          <w:szCs w:val="22"/>
        </w:rPr>
        <w:t>.</w:t>
      </w:r>
    </w:p>
    <w:p w:rsidR="002C26E0" w:rsidRPr="005F6118" w:rsidRDefault="002C26E0" w:rsidP="002C26E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5F6118">
        <w:rPr>
          <w:rFonts w:ascii="Arial" w:hAnsi="Arial" w:cs="Arial"/>
          <w:bCs/>
          <w:spacing w:val="-3"/>
          <w:sz w:val="22"/>
          <w:szCs w:val="22"/>
        </w:rPr>
        <w:t>MP3.3</w:t>
      </w:r>
      <w:r w:rsidRPr="005F6118">
        <w:rPr>
          <w:rFonts w:ascii="Arial" w:hAnsi="Arial" w:cs="Arial"/>
          <w:sz w:val="22"/>
          <w:szCs w:val="22"/>
        </w:rPr>
        <w:t xml:space="preserve"> details the minimum standards for structural stability, safety, health, amenity and </w:t>
      </w:r>
      <w:r w:rsidRPr="005F6118">
        <w:rPr>
          <w:rFonts w:ascii="Arial" w:hAnsi="Arial" w:cs="Arial"/>
          <w:color w:val="auto"/>
          <w:sz w:val="22"/>
          <w:szCs w:val="22"/>
        </w:rPr>
        <w:t xml:space="preserve">sustainability that must be incorporated in any temporary accommodation building. </w:t>
      </w:r>
    </w:p>
    <w:p w:rsidR="002C26E0" w:rsidRPr="005F6118" w:rsidRDefault="002C26E0" w:rsidP="002C26E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C80C05">
        <w:rPr>
          <w:rFonts w:ascii="Arial" w:hAnsi="Arial" w:cs="Arial"/>
          <w:color w:val="auto"/>
          <w:sz w:val="22"/>
          <w:szCs w:val="22"/>
          <w:u w:val="single"/>
        </w:rPr>
        <w:t>Cabinet endorsed</w:t>
      </w:r>
      <w:r w:rsidRPr="005F6118">
        <w:rPr>
          <w:rFonts w:ascii="Arial" w:hAnsi="Arial" w:cs="Arial"/>
          <w:color w:val="auto"/>
          <w:sz w:val="22"/>
          <w:szCs w:val="22"/>
        </w:rPr>
        <w:t xml:space="preserve"> that the Building </w:t>
      </w:r>
      <w:r w:rsidR="002D26B9" w:rsidRPr="005F6118">
        <w:rPr>
          <w:rFonts w:ascii="Arial" w:hAnsi="Arial" w:cs="Arial"/>
          <w:color w:val="auto"/>
          <w:sz w:val="22"/>
          <w:szCs w:val="22"/>
        </w:rPr>
        <w:t xml:space="preserve">and Other Legislation </w:t>
      </w:r>
      <w:r w:rsidRPr="005F6118">
        <w:rPr>
          <w:rFonts w:ascii="Arial" w:hAnsi="Arial" w:cs="Arial"/>
          <w:color w:val="auto"/>
          <w:sz w:val="22"/>
          <w:szCs w:val="22"/>
        </w:rPr>
        <w:t>Amendment Regulation (No</w:t>
      </w:r>
      <w:r w:rsidR="00C80C05">
        <w:rPr>
          <w:rFonts w:ascii="Arial" w:hAnsi="Arial" w:cs="Arial"/>
          <w:color w:val="auto"/>
          <w:sz w:val="22"/>
          <w:szCs w:val="22"/>
        </w:rPr>
        <w:t>. 2</w:t>
      </w:r>
      <w:r w:rsidRPr="005F6118">
        <w:rPr>
          <w:rFonts w:ascii="Arial" w:hAnsi="Arial" w:cs="Arial"/>
          <w:color w:val="auto"/>
          <w:sz w:val="22"/>
          <w:szCs w:val="22"/>
        </w:rPr>
        <w:t>) 20</w:t>
      </w:r>
      <w:r w:rsidR="007719BA" w:rsidRPr="005F6118">
        <w:rPr>
          <w:rFonts w:ascii="Arial" w:hAnsi="Arial" w:cs="Arial"/>
          <w:color w:val="auto"/>
          <w:sz w:val="22"/>
          <w:szCs w:val="22"/>
        </w:rPr>
        <w:t>10</w:t>
      </w:r>
      <w:r w:rsidRPr="005F6118">
        <w:rPr>
          <w:rFonts w:ascii="Arial" w:hAnsi="Arial" w:cs="Arial"/>
          <w:color w:val="auto"/>
          <w:sz w:val="22"/>
          <w:szCs w:val="22"/>
        </w:rPr>
        <w:t xml:space="preserve"> in accordance with the draft attached to the submission be recommended to the Governor in Council for approval</w:t>
      </w:r>
      <w:r w:rsidR="00D417BE">
        <w:rPr>
          <w:rFonts w:ascii="Arial" w:hAnsi="Arial" w:cs="Arial"/>
          <w:color w:val="auto"/>
          <w:sz w:val="22"/>
          <w:szCs w:val="22"/>
        </w:rPr>
        <w:t>.</w:t>
      </w:r>
    </w:p>
    <w:p w:rsidR="00373F7F" w:rsidRPr="005F6118" w:rsidRDefault="002C26E0" w:rsidP="00373F7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C80C05">
        <w:rPr>
          <w:rFonts w:ascii="Arial" w:hAnsi="Arial" w:cs="Arial"/>
          <w:color w:val="auto"/>
          <w:sz w:val="22"/>
          <w:szCs w:val="22"/>
          <w:u w:val="single"/>
        </w:rPr>
        <w:t>Cabinet noted</w:t>
      </w:r>
      <w:r w:rsidRPr="005F6118">
        <w:rPr>
          <w:rFonts w:ascii="Arial" w:hAnsi="Arial" w:cs="Arial"/>
          <w:color w:val="auto"/>
          <w:sz w:val="22"/>
          <w:szCs w:val="22"/>
        </w:rPr>
        <w:t xml:space="preserve"> that the Building </w:t>
      </w:r>
      <w:r w:rsidR="002D26B9" w:rsidRPr="005F6118">
        <w:rPr>
          <w:rFonts w:ascii="Arial" w:hAnsi="Arial" w:cs="Arial"/>
          <w:color w:val="auto"/>
          <w:sz w:val="22"/>
          <w:szCs w:val="22"/>
        </w:rPr>
        <w:t xml:space="preserve">and Other Legislation </w:t>
      </w:r>
      <w:r w:rsidRPr="005F6118">
        <w:rPr>
          <w:rFonts w:ascii="Arial" w:hAnsi="Arial" w:cs="Arial"/>
          <w:color w:val="auto"/>
          <w:sz w:val="22"/>
          <w:szCs w:val="22"/>
        </w:rPr>
        <w:t>Amendment Regulation (No</w:t>
      </w:r>
      <w:r w:rsidR="00C80C05">
        <w:rPr>
          <w:rFonts w:ascii="Arial" w:hAnsi="Arial" w:cs="Arial"/>
          <w:color w:val="auto"/>
          <w:sz w:val="22"/>
          <w:szCs w:val="22"/>
        </w:rPr>
        <w:t>. 2</w:t>
      </w:r>
      <w:r w:rsidRPr="005F6118">
        <w:rPr>
          <w:rFonts w:ascii="Arial" w:hAnsi="Arial" w:cs="Arial"/>
          <w:color w:val="auto"/>
          <w:sz w:val="22"/>
          <w:szCs w:val="22"/>
        </w:rPr>
        <w:t>) 20</w:t>
      </w:r>
      <w:r w:rsidR="007719BA" w:rsidRPr="005F6118">
        <w:rPr>
          <w:rFonts w:ascii="Arial" w:hAnsi="Arial" w:cs="Arial"/>
          <w:color w:val="auto"/>
          <w:sz w:val="22"/>
          <w:szCs w:val="22"/>
        </w:rPr>
        <w:t>10</w:t>
      </w:r>
      <w:r w:rsidRPr="005F6118">
        <w:rPr>
          <w:rFonts w:ascii="Arial" w:hAnsi="Arial" w:cs="Arial"/>
          <w:color w:val="auto"/>
          <w:sz w:val="22"/>
          <w:szCs w:val="22"/>
        </w:rPr>
        <w:t xml:space="preserve"> </w:t>
      </w:r>
      <w:r w:rsidR="00C80C05">
        <w:rPr>
          <w:rFonts w:ascii="Arial" w:hAnsi="Arial" w:cs="Arial"/>
          <w:color w:val="auto"/>
          <w:sz w:val="22"/>
          <w:szCs w:val="22"/>
        </w:rPr>
        <w:t xml:space="preserve">would </w:t>
      </w:r>
      <w:r w:rsidRPr="005F6118">
        <w:rPr>
          <w:rFonts w:ascii="Arial" w:hAnsi="Arial" w:cs="Arial"/>
          <w:color w:val="auto"/>
          <w:sz w:val="22"/>
          <w:szCs w:val="22"/>
        </w:rPr>
        <w:t>be laid before the Legislative Assembly within 14 sitting days after publication in the Government Gazette</w:t>
      </w:r>
      <w:r w:rsidR="00D417BE">
        <w:rPr>
          <w:rFonts w:ascii="Arial" w:hAnsi="Arial" w:cs="Arial"/>
          <w:color w:val="auto"/>
          <w:sz w:val="22"/>
          <w:szCs w:val="22"/>
        </w:rPr>
        <w:t>.</w:t>
      </w:r>
    </w:p>
    <w:p w:rsidR="002C26E0" w:rsidRPr="005F6118" w:rsidRDefault="002C26E0" w:rsidP="002C26E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5F6118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</w:p>
    <w:p w:rsidR="002C26E0" w:rsidRPr="005F6118" w:rsidRDefault="00527992" w:rsidP="00A7755F">
      <w:pPr>
        <w:keepLines/>
        <w:numPr>
          <w:ilvl w:val="0"/>
          <w:numId w:val="5"/>
        </w:numPr>
        <w:tabs>
          <w:tab w:val="clear" w:pos="1363"/>
          <w:tab w:val="num" w:pos="640"/>
        </w:tabs>
        <w:spacing w:before="240"/>
        <w:ind w:left="640"/>
        <w:jc w:val="both"/>
        <w:rPr>
          <w:rFonts w:ascii="Arial" w:hAnsi="Arial" w:cs="Arial"/>
          <w:sz w:val="22"/>
          <w:szCs w:val="22"/>
        </w:rPr>
      </w:pPr>
      <w:hyperlink r:id="rId7" w:history="1">
        <w:r w:rsidR="002C26E0" w:rsidRPr="00C80C05">
          <w:rPr>
            <w:rStyle w:val="Hyperlink"/>
            <w:rFonts w:ascii="Arial" w:hAnsi="Arial" w:cs="Arial"/>
            <w:sz w:val="22"/>
            <w:szCs w:val="22"/>
          </w:rPr>
          <w:t xml:space="preserve">Building </w:t>
        </w:r>
        <w:r w:rsidR="002D26B9" w:rsidRPr="00C80C05">
          <w:rPr>
            <w:rStyle w:val="Hyperlink"/>
            <w:rFonts w:ascii="Arial" w:hAnsi="Arial" w:cs="Arial"/>
            <w:sz w:val="22"/>
            <w:szCs w:val="22"/>
          </w:rPr>
          <w:t xml:space="preserve">and Other Legislation </w:t>
        </w:r>
        <w:r w:rsidR="002C26E0" w:rsidRPr="00C80C05">
          <w:rPr>
            <w:rStyle w:val="Hyperlink"/>
            <w:rFonts w:ascii="Arial" w:hAnsi="Arial" w:cs="Arial"/>
            <w:sz w:val="22"/>
            <w:szCs w:val="22"/>
          </w:rPr>
          <w:t>Amendment Regulation (No</w:t>
        </w:r>
        <w:r w:rsidR="00C80C05" w:rsidRPr="00C80C05">
          <w:rPr>
            <w:rStyle w:val="Hyperlink"/>
            <w:rFonts w:ascii="Arial" w:hAnsi="Arial" w:cs="Arial"/>
            <w:sz w:val="22"/>
            <w:szCs w:val="22"/>
          </w:rPr>
          <w:t>.</w:t>
        </w:r>
        <w:r w:rsidR="00A7755F" w:rsidRPr="00C80C05">
          <w:rPr>
            <w:rStyle w:val="Hyperlink"/>
            <w:rFonts w:ascii="Arial" w:hAnsi="Arial" w:cs="Arial"/>
            <w:sz w:val="22"/>
            <w:szCs w:val="22"/>
          </w:rPr>
          <w:t xml:space="preserve"> 2</w:t>
        </w:r>
        <w:r w:rsidR="002C26E0" w:rsidRPr="00C80C05">
          <w:rPr>
            <w:rStyle w:val="Hyperlink"/>
            <w:rFonts w:ascii="Arial" w:hAnsi="Arial" w:cs="Arial"/>
            <w:sz w:val="22"/>
            <w:szCs w:val="22"/>
          </w:rPr>
          <w:t>) 20</w:t>
        </w:r>
        <w:r w:rsidR="007719BA" w:rsidRPr="00C80C05">
          <w:rPr>
            <w:rStyle w:val="Hyperlink"/>
            <w:rFonts w:ascii="Arial" w:hAnsi="Arial" w:cs="Arial"/>
            <w:sz w:val="22"/>
            <w:szCs w:val="22"/>
          </w:rPr>
          <w:t>10</w:t>
        </w:r>
      </w:hyperlink>
    </w:p>
    <w:p w:rsidR="002C26E0" w:rsidRPr="005F6118" w:rsidRDefault="002C26E0" w:rsidP="00A7755F">
      <w:pPr>
        <w:jc w:val="both"/>
        <w:rPr>
          <w:rFonts w:ascii="Arial" w:hAnsi="Arial" w:cs="Arial"/>
          <w:sz w:val="22"/>
          <w:szCs w:val="22"/>
        </w:rPr>
      </w:pPr>
    </w:p>
    <w:p w:rsidR="002C26E0" w:rsidRPr="002950AC" w:rsidRDefault="00527992" w:rsidP="00A7755F">
      <w:pPr>
        <w:numPr>
          <w:ilvl w:val="0"/>
          <w:numId w:val="5"/>
        </w:numPr>
        <w:tabs>
          <w:tab w:val="clear" w:pos="1363"/>
          <w:tab w:val="num" w:pos="640"/>
        </w:tabs>
        <w:ind w:left="640"/>
        <w:jc w:val="both"/>
        <w:rPr>
          <w:rFonts w:ascii="Arial" w:hAnsi="Arial" w:cs="Arial"/>
          <w:sz w:val="22"/>
          <w:szCs w:val="22"/>
        </w:rPr>
      </w:pPr>
      <w:hyperlink r:id="rId8" w:history="1">
        <w:r w:rsidR="002C26E0" w:rsidRPr="00C80C05">
          <w:rPr>
            <w:rStyle w:val="Hyperlink"/>
            <w:rFonts w:ascii="Arial" w:hAnsi="Arial" w:cs="Arial"/>
            <w:sz w:val="22"/>
            <w:szCs w:val="22"/>
          </w:rPr>
          <w:t>MP3.3 Code For Temporary Accommodation Buildings and Structures</w:t>
        </w:r>
      </w:hyperlink>
    </w:p>
    <w:p w:rsidR="002C26E0" w:rsidRPr="002950AC" w:rsidRDefault="002C26E0" w:rsidP="002C26E0">
      <w:pPr>
        <w:jc w:val="both"/>
        <w:rPr>
          <w:rFonts w:ascii="Arial" w:hAnsi="Arial" w:cs="Arial"/>
          <w:sz w:val="22"/>
          <w:szCs w:val="22"/>
        </w:rPr>
      </w:pPr>
    </w:p>
    <w:p w:rsidR="00683A5F" w:rsidRDefault="00683A5F"/>
    <w:sectPr w:rsidR="00683A5F" w:rsidSect="002C26E0">
      <w:headerReference w:type="default" r:id="rId9"/>
      <w:footerReference w:type="default" r:id="rId10"/>
      <w:headerReference w:type="first" r:id="rId11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07" w:rsidRDefault="000B7F07">
      <w:r>
        <w:separator/>
      </w:r>
    </w:p>
  </w:endnote>
  <w:endnote w:type="continuationSeparator" w:id="0">
    <w:p w:rsidR="000B7F07" w:rsidRDefault="000B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6E0" w:rsidRPr="001141E1" w:rsidRDefault="002C26E0" w:rsidP="002C26E0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07" w:rsidRDefault="000B7F07">
      <w:r>
        <w:separator/>
      </w:r>
    </w:p>
  </w:footnote>
  <w:footnote w:type="continuationSeparator" w:id="0">
    <w:p w:rsidR="000B7F07" w:rsidRDefault="000B7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6E0" w:rsidRPr="000400F9" w:rsidRDefault="000D73EE" w:rsidP="002C26E0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6E0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2C26E0">
      <w:rPr>
        <w:rFonts w:ascii="Arial" w:hAnsi="Arial" w:cs="Arial"/>
        <w:b/>
        <w:sz w:val="22"/>
        <w:szCs w:val="22"/>
        <w:u w:val="single"/>
      </w:rPr>
      <w:t>month year</w:t>
    </w:r>
  </w:p>
  <w:p w:rsidR="002C26E0" w:rsidRDefault="002C26E0" w:rsidP="002C26E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2C26E0" w:rsidRDefault="002C26E0" w:rsidP="002C26E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2C26E0" w:rsidRPr="00F10DF9" w:rsidRDefault="002C26E0" w:rsidP="002C26E0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6E0" w:rsidRDefault="002C26E0" w:rsidP="002C26E0">
    <w:pPr>
      <w:pStyle w:val="Header"/>
      <w:ind w:firstLine="2880"/>
      <w:jc w:val="right"/>
      <w:rPr>
        <w:rFonts w:ascii="Arial" w:hAnsi="Arial" w:cs="Arial"/>
        <w:b/>
        <w:sz w:val="22"/>
        <w:szCs w:val="22"/>
        <w:u w:val="single"/>
      </w:rPr>
    </w:pPr>
    <w:bookmarkStart w:id="1" w:name="OLE_LINK5"/>
    <w:bookmarkStart w:id="2" w:name="OLE_LINK6"/>
    <w:bookmarkStart w:id="3" w:name="_Hlk243446943"/>
  </w:p>
  <w:p w:rsidR="002C26E0" w:rsidRDefault="002C26E0" w:rsidP="002C26E0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2C26E0" w:rsidRPr="004508D2" w:rsidRDefault="000D73EE" w:rsidP="002C26E0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6E0" w:rsidRPr="004508D2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2D26B9">
      <w:rPr>
        <w:rFonts w:ascii="Arial" w:hAnsi="Arial" w:cs="Arial"/>
        <w:b/>
        <w:sz w:val="22"/>
        <w:szCs w:val="22"/>
        <w:u w:val="single"/>
      </w:rPr>
      <w:t>March 2010</w:t>
    </w:r>
    <w:r w:rsidR="002C26E0" w:rsidRPr="004508D2">
      <w:rPr>
        <w:rFonts w:ascii="Arial" w:hAnsi="Arial" w:cs="Arial"/>
        <w:b/>
        <w:sz w:val="22"/>
        <w:szCs w:val="22"/>
        <w:u w:val="single"/>
      </w:rPr>
      <w:t xml:space="preserve">  </w:t>
    </w:r>
  </w:p>
  <w:p w:rsidR="002C26E0" w:rsidRPr="004508D2" w:rsidRDefault="002C26E0" w:rsidP="002C26E0">
    <w:pPr>
      <w:jc w:val="both"/>
      <w:rPr>
        <w:rFonts w:ascii="Arial" w:hAnsi="Arial" w:cs="Arial"/>
        <w:b/>
        <w:sz w:val="22"/>
        <w:szCs w:val="22"/>
        <w:u w:val="single"/>
      </w:rPr>
    </w:pPr>
  </w:p>
  <w:p w:rsidR="002C26E0" w:rsidRPr="004508D2" w:rsidRDefault="002C26E0" w:rsidP="002C26E0">
    <w:pPr>
      <w:jc w:val="both"/>
      <w:rPr>
        <w:rFonts w:ascii="Arial" w:hAnsi="Arial" w:cs="Arial"/>
        <w:b/>
        <w:sz w:val="22"/>
        <w:szCs w:val="22"/>
        <w:u w:val="single"/>
      </w:rPr>
    </w:pPr>
    <w:r w:rsidRPr="004508D2">
      <w:rPr>
        <w:rFonts w:ascii="Arial" w:hAnsi="Arial" w:cs="Arial"/>
        <w:b/>
        <w:sz w:val="22"/>
        <w:szCs w:val="22"/>
        <w:u w:val="single"/>
      </w:rPr>
      <w:t>Building</w:t>
    </w:r>
    <w:r w:rsidRPr="004508D2">
      <w:rPr>
        <w:rFonts w:ascii="Arial" w:hAnsi="Arial" w:cs="Arial"/>
        <w:b/>
        <w:sz w:val="22"/>
        <w:szCs w:val="22"/>
        <w:u w:val="single"/>
        <w:lang w:val="en-US"/>
      </w:rPr>
      <w:t xml:space="preserve"> Standards for Temporary Buildings used for Accommodation Purposes</w:t>
    </w:r>
    <w:r w:rsidRPr="004508D2">
      <w:rPr>
        <w:rFonts w:ascii="Arial" w:hAnsi="Arial" w:cs="Arial"/>
        <w:b/>
        <w:sz w:val="22"/>
        <w:szCs w:val="22"/>
        <w:u w:val="single"/>
      </w:rPr>
      <w:t xml:space="preserve"> </w:t>
    </w:r>
  </w:p>
  <w:p w:rsidR="002C26E0" w:rsidRDefault="002C26E0" w:rsidP="002C26E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508D2">
      <w:rPr>
        <w:rFonts w:ascii="Arial" w:hAnsi="Arial" w:cs="Arial"/>
        <w:b/>
        <w:sz w:val="22"/>
        <w:szCs w:val="22"/>
        <w:u w:val="single"/>
      </w:rPr>
      <w:t>Minister for Infrastructure and Planning</w:t>
    </w:r>
  </w:p>
  <w:p w:rsidR="002C26E0" w:rsidRPr="00F10DF9" w:rsidRDefault="002C26E0" w:rsidP="002C26E0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  <w:bookmarkEnd w:id="1"/>
  <w:bookmarkEnd w:id="2"/>
  <w:bookmarkEnd w:id="3"/>
  <w:p w:rsidR="002C26E0" w:rsidRPr="007106A1" w:rsidRDefault="002C26E0" w:rsidP="002C26E0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0B68"/>
    <w:multiLevelType w:val="hybridMultilevel"/>
    <w:tmpl w:val="E0B875E8"/>
    <w:lvl w:ilvl="0" w:tplc="24B48D42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3C94"/>
    <w:multiLevelType w:val="hybridMultilevel"/>
    <w:tmpl w:val="4A167BB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116565"/>
    <w:multiLevelType w:val="hybridMultilevel"/>
    <w:tmpl w:val="25B84BC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EE44B34"/>
    <w:multiLevelType w:val="hybridMultilevel"/>
    <w:tmpl w:val="C2A26346"/>
    <w:lvl w:ilvl="0" w:tplc="A92217EC">
      <w:start w:val="1"/>
      <w:numFmt w:val="bullet"/>
      <w:lvlText w:val="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E0"/>
    <w:rsid w:val="00000C49"/>
    <w:rsid w:val="00011932"/>
    <w:rsid w:val="0001664B"/>
    <w:rsid w:val="0002002A"/>
    <w:rsid w:val="00033B37"/>
    <w:rsid w:val="00076A2B"/>
    <w:rsid w:val="00093655"/>
    <w:rsid w:val="000A4E41"/>
    <w:rsid w:val="000B0F4A"/>
    <w:rsid w:val="000B394B"/>
    <w:rsid w:val="000B55F2"/>
    <w:rsid w:val="000B7F07"/>
    <w:rsid w:val="000D1351"/>
    <w:rsid w:val="000D51EC"/>
    <w:rsid w:val="000D73EE"/>
    <w:rsid w:val="00110F9E"/>
    <w:rsid w:val="001303AF"/>
    <w:rsid w:val="001319C8"/>
    <w:rsid w:val="001347D4"/>
    <w:rsid w:val="00157F52"/>
    <w:rsid w:val="002236A3"/>
    <w:rsid w:val="0023124C"/>
    <w:rsid w:val="00233A5E"/>
    <w:rsid w:val="00255B0D"/>
    <w:rsid w:val="00265AEC"/>
    <w:rsid w:val="00276361"/>
    <w:rsid w:val="002950AC"/>
    <w:rsid w:val="00297720"/>
    <w:rsid w:val="002B48A3"/>
    <w:rsid w:val="002C26E0"/>
    <w:rsid w:val="002C7763"/>
    <w:rsid w:val="002D26B9"/>
    <w:rsid w:val="002F5547"/>
    <w:rsid w:val="003277A5"/>
    <w:rsid w:val="00334F74"/>
    <w:rsid w:val="00334FAC"/>
    <w:rsid w:val="00336031"/>
    <w:rsid w:val="003476D0"/>
    <w:rsid w:val="00373F7F"/>
    <w:rsid w:val="00380A2D"/>
    <w:rsid w:val="003A07C3"/>
    <w:rsid w:val="003F6AD6"/>
    <w:rsid w:val="00402872"/>
    <w:rsid w:val="00415676"/>
    <w:rsid w:val="00416D2B"/>
    <w:rsid w:val="004257D9"/>
    <w:rsid w:val="00454895"/>
    <w:rsid w:val="0048029D"/>
    <w:rsid w:val="00485CF1"/>
    <w:rsid w:val="004A1A6A"/>
    <w:rsid w:val="004D0EBB"/>
    <w:rsid w:val="004F0F02"/>
    <w:rsid w:val="004F5665"/>
    <w:rsid w:val="00500E03"/>
    <w:rsid w:val="00505486"/>
    <w:rsid w:val="00521BF6"/>
    <w:rsid w:val="0052365A"/>
    <w:rsid w:val="00527992"/>
    <w:rsid w:val="00553A8D"/>
    <w:rsid w:val="005A1E2F"/>
    <w:rsid w:val="005A3D6B"/>
    <w:rsid w:val="005C1661"/>
    <w:rsid w:val="005E081F"/>
    <w:rsid w:val="005F6118"/>
    <w:rsid w:val="00650887"/>
    <w:rsid w:val="006522EA"/>
    <w:rsid w:val="00662388"/>
    <w:rsid w:val="00666A60"/>
    <w:rsid w:val="00683A5F"/>
    <w:rsid w:val="00686CAB"/>
    <w:rsid w:val="006C5C7B"/>
    <w:rsid w:val="006D51DF"/>
    <w:rsid w:val="006F0D5B"/>
    <w:rsid w:val="0070445F"/>
    <w:rsid w:val="007109B8"/>
    <w:rsid w:val="00714833"/>
    <w:rsid w:val="007162E1"/>
    <w:rsid w:val="00721CDC"/>
    <w:rsid w:val="00742BB6"/>
    <w:rsid w:val="00742F36"/>
    <w:rsid w:val="00766932"/>
    <w:rsid w:val="007679A0"/>
    <w:rsid w:val="007719BA"/>
    <w:rsid w:val="00771D83"/>
    <w:rsid w:val="007A1A02"/>
    <w:rsid w:val="007A2FE7"/>
    <w:rsid w:val="007A35A5"/>
    <w:rsid w:val="007C0422"/>
    <w:rsid w:val="00851147"/>
    <w:rsid w:val="00852AD6"/>
    <w:rsid w:val="008560B4"/>
    <w:rsid w:val="00861543"/>
    <w:rsid w:val="0089618A"/>
    <w:rsid w:val="008A7CEE"/>
    <w:rsid w:val="00901CD2"/>
    <w:rsid w:val="00902906"/>
    <w:rsid w:val="00905161"/>
    <w:rsid w:val="00974EEB"/>
    <w:rsid w:val="00976553"/>
    <w:rsid w:val="009A66C1"/>
    <w:rsid w:val="009C5D1D"/>
    <w:rsid w:val="009D5FD5"/>
    <w:rsid w:val="009D75F4"/>
    <w:rsid w:val="00A0277E"/>
    <w:rsid w:val="00A34008"/>
    <w:rsid w:val="00A6612E"/>
    <w:rsid w:val="00A72073"/>
    <w:rsid w:val="00A75968"/>
    <w:rsid w:val="00A7755F"/>
    <w:rsid w:val="00A869E0"/>
    <w:rsid w:val="00AB2609"/>
    <w:rsid w:val="00AD2E11"/>
    <w:rsid w:val="00B112CB"/>
    <w:rsid w:val="00B5018E"/>
    <w:rsid w:val="00B671C0"/>
    <w:rsid w:val="00B71B0C"/>
    <w:rsid w:val="00B8097B"/>
    <w:rsid w:val="00C46892"/>
    <w:rsid w:val="00C51118"/>
    <w:rsid w:val="00C569D6"/>
    <w:rsid w:val="00C80C05"/>
    <w:rsid w:val="00C922A3"/>
    <w:rsid w:val="00CA47A7"/>
    <w:rsid w:val="00CB62C0"/>
    <w:rsid w:val="00CB6A1A"/>
    <w:rsid w:val="00CC3C71"/>
    <w:rsid w:val="00D13F0A"/>
    <w:rsid w:val="00D15B69"/>
    <w:rsid w:val="00D23ACC"/>
    <w:rsid w:val="00D256CA"/>
    <w:rsid w:val="00D311AC"/>
    <w:rsid w:val="00D417BE"/>
    <w:rsid w:val="00D458C7"/>
    <w:rsid w:val="00D52BE3"/>
    <w:rsid w:val="00D70E27"/>
    <w:rsid w:val="00D74BB2"/>
    <w:rsid w:val="00D77765"/>
    <w:rsid w:val="00D957E5"/>
    <w:rsid w:val="00E062B5"/>
    <w:rsid w:val="00E2093C"/>
    <w:rsid w:val="00E92290"/>
    <w:rsid w:val="00EC2387"/>
    <w:rsid w:val="00EF120E"/>
    <w:rsid w:val="00F00FBC"/>
    <w:rsid w:val="00F122CA"/>
    <w:rsid w:val="00F3748B"/>
    <w:rsid w:val="00F63AB7"/>
    <w:rsid w:val="00F72B22"/>
    <w:rsid w:val="00F86B82"/>
    <w:rsid w:val="00F975DD"/>
    <w:rsid w:val="00FA0D79"/>
    <w:rsid w:val="00FB3D39"/>
    <w:rsid w:val="00FC2356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6E0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26E0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2C26E0"/>
    <w:pPr>
      <w:tabs>
        <w:tab w:val="center" w:pos="4153"/>
        <w:tab w:val="right" w:pos="8306"/>
      </w:tabs>
    </w:pPr>
  </w:style>
  <w:style w:type="paragraph" w:customStyle="1" w:styleId="Char2">
    <w:name w:val="Char2"/>
    <w:basedOn w:val="Normal"/>
    <w:rsid w:val="002C26E0"/>
    <w:pPr>
      <w:keepNext/>
      <w:spacing w:after="160" w:line="240" w:lineRule="exact"/>
      <w:ind w:left="540" w:firstLine="6"/>
    </w:pPr>
    <w:rPr>
      <w:rFonts w:ascii="Verdana" w:hAnsi="Verdana" w:cs="Arial"/>
      <w:bCs/>
      <w:color w:val="auto"/>
      <w:sz w:val="20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locked/>
    <w:rsid w:val="002C26E0"/>
    <w:rPr>
      <w:sz w:val="24"/>
      <w:lang w:val="en-AU" w:eastAsia="en-AU" w:bidi="ar-SA"/>
    </w:rPr>
  </w:style>
  <w:style w:type="paragraph" w:customStyle="1" w:styleId="Char1">
    <w:name w:val="Char1"/>
    <w:basedOn w:val="Normal"/>
    <w:rsid w:val="00976553"/>
    <w:pPr>
      <w:keepNext/>
      <w:spacing w:after="160" w:line="240" w:lineRule="exact"/>
      <w:ind w:left="540" w:firstLine="6"/>
    </w:pPr>
    <w:rPr>
      <w:rFonts w:ascii="Verdana" w:hAnsi="Verdana" w:cs="Arial"/>
      <w:bCs/>
      <w:color w:val="auto"/>
      <w:sz w:val="20"/>
      <w:szCs w:val="22"/>
      <w:lang w:val="en-US" w:eastAsia="en-US"/>
    </w:rPr>
  </w:style>
  <w:style w:type="paragraph" w:styleId="BalloonText">
    <w:name w:val="Balloon Text"/>
    <w:basedOn w:val="Normal"/>
    <w:semiHidden/>
    <w:rsid w:val="00A77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0C05"/>
    <w:rPr>
      <w:color w:val="0000FF"/>
      <w:u w:val="single"/>
    </w:rPr>
  </w:style>
  <w:style w:type="character" w:styleId="FollowedHyperlink">
    <w:name w:val="FollowedHyperlink"/>
    <w:basedOn w:val="DefaultParagraphFont"/>
    <w:rsid w:val="00380A2D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mp-3-3-temporary-accommodation-buildings-and-structur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OLA%20regulation%20No%202%20201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1166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1362</CharactersWithSpaces>
  <SharedDoc>false</SharedDoc>
  <HyperlinkBase>https://www.cabinet.qld.gov.au/documents/2010/Mar/BOLA reg 2010/</HyperlinkBase>
  <HLinks>
    <vt:vector size="12" baseType="variant"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Attachments/mp-3-3-temporary-accommodation-buildings-and-structures.pdf</vt:lpwstr>
      </vt:variant>
      <vt:variant>
        <vt:lpwstr/>
      </vt:variant>
      <vt:variant>
        <vt:i4>1769536</vt:i4>
      </vt:variant>
      <vt:variant>
        <vt:i4>0</vt:i4>
      </vt:variant>
      <vt:variant>
        <vt:i4>0</vt:i4>
      </vt:variant>
      <vt:variant>
        <vt:i4>5</vt:i4>
      </vt:variant>
      <vt:variant>
        <vt:lpwstr>Attachments/BOLA regulation No 2 2010.pdf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building,temporary_accommodation</cp:keywords>
  <dc:description/>
  <cp:lastModifiedBy/>
  <cp:revision>2</cp:revision>
  <cp:lastPrinted>2010-06-07T08:05:00Z</cp:lastPrinted>
  <dcterms:created xsi:type="dcterms:W3CDTF">2017-10-24T22:20:00Z</dcterms:created>
  <dcterms:modified xsi:type="dcterms:W3CDTF">2018-03-06T01:03:00Z</dcterms:modified>
  <cp:category>infrastructure,legislation</cp:category>
</cp:coreProperties>
</file>